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In this paper, the forma</w:t>
      </w:r>
      <w:bookmarkStart w:id="1" w:name="_GoBack"/>
      <w:bookmarkEnd w:id="1"/>
      <w:r w:rsidR="0011741F" w:rsidRPr="00021A6C">
        <w:rPr>
          <w:sz w:val="20"/>
        </w:rPr>
        <w:t xml:space="preserve">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3" w:name="OLE_LINK7"/>
      <w:r>
        <w:rPr>
          <w:sz w:val="22"/>
          <w:szCs w:val="22"/>
        </w:rPr>
        <w:tab/>
      </w:r>
      <w:r w:rsidR="00A47C1A" w:rsidRPr="00942EA6">
        <w:rPr>
          <w:sz w:val="22"/>
          <w:szCs w:val="22"/>
        </w:rPr>
        <w:t>Each equation should be presented on a separate line from the text with a blank space above and below.</w:t>
      </w:r>
      <w:bookmarkEnd w:id="3"/>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AB1F29"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[4] J. O. Williams, “Narrow-band analyzer,”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[7] 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29" w:rsidRDefault="00AB1F29">
      <w:r>
        <w:separator/>
      </w:r>
    </w:p>
  </w:endnote>
  <w:endnote w:type="continuationSeparator" w:id="0">
    <w:p w:rsidR="00AB1F29" w:rsidRDefault="00AB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D2747C" w:rsidP="001D244E">
    <w:pPr>
      <w:pStyle w:val="Footer"/>
      <w:ind w:firstLine="0"/>
      <w:jc w:val="center"/>
      <w:rPr>
        <w:sz w:val="22"/>
      </w:rPr>
    </w:pPr>
    <w:r>
      <w:rPr>
        <w:sz w:val="22"/>
      </w:rPr>
      <w:t>AWSPT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74EC0">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2747C" w:rsidP="001D244E">
    <w:pPr>
      <w:pStyle w:val="Footer"/>
      <w:ind w:firstLine="0"/>
      <w:jc w:val="center"/>
      <w:rPr>
        <w:sz w:val="22"/>
        <w:lang w:val="sl-SI"/>
      </w:rPr>
    </w:pPr>
    <w:r>
      <w:rPr>
        <w:sz w:val="22"/>
        <w:lang w:val="sl-SI"/>
      </w:rPr>
      <w:t>AWSPT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74EC0">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29" w:rsidRDefault="00AB1F29">
      <w:r>
        <w:separator/>
      </w:r>
    </w:p>
  </w:footnote>
  <w:footnote w:type="continuationSeparator" w:id="0">
    <w:p w:rsidR="00AB1F29" w:rsidRDefault="00AB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FF29D3" w:rsidRDefault="001D244E" w:rsidP="008D3DCC">
    <w:pPr>
      <w:pStyle w:val="Header"/>
      <w:ind w:firstLine="0"/>
      <w:rPr>
        <w:i/>
        <w:sz w:val="20"/>
        <w:lang w:val="en-CA"/>
      </w:rPr>
    </w:pPr>
    <w:r w:rsidRPr="00FF29D3">
      <w:rPr>
        <w:i/>
        <w:sz w:val="20"/>
        <w:lang w:val="en-CA"/>
      </w:rPr>
      <w:t>Proceedings of the World Congress on Civil, Structural, and Environmental Engineering (CSEE’16)</w:t>
    </w:r>
  </w:p>
  <w:p w:rsidR="001D244E" w:rsidRPr="00FF29D3" w:rsidRDefault="001D244E" w:rsidP="008D3DCC">
    <w:pPr>
      <w:pStyle w:val="Header"/>
      <w:ind w:firstLine="0"/>
      <w:rPr>
        <w:i/>
        <w:sz w:val="20"/>
        <w:lang w:val="en-CA"/>
      </w:rPr>
    </w:pPr>
    <w:r w:rsidRPr="00FF29D3">
      <w:rPr>
        <w:i/>
        <w:sz w:val="20"/>
        <w:lang w:val="en-CA"/>
      </w:rPr>
      <w:t>Prague, Czech Republic – March 30 – 31, 2016</w:t>
    </w:r>
  </w:p>
  <w:p w:rsidR="00A47C1A" w:rsidRPr="00FF29D3" w:rsidRDefault="00D2747C" w:rsidP="008D3DCC">
    <w:pPr>
      <w:pStyle w:val="Header"/>
      <w:ind w:firstLine="0"/>
      <w:rPr>
        <w:sz w:val="20"/>
      </w:rPr>
    </w:pPr>
    <w:r>
      <w:rPr>
        <w:i/>
        <w:sz w:val="20"/>
        <w:lang w:val="en-CA"/>
      </w:rPr>
      <w:t>Paper No. AWSPT</w:t>
    </w:r>
    <w:r w:rsidR="001D244E" w:rsidRPr="00FF29D3">
      <w:rPr>
        <w:i/>
        <w:sz w:val="20"/>
        <w:lang w:val="en-CA"/>
      </w:rPr>
      <w:t xml:space="preserve">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D244E"/>
    <w:rsid w:val="001F0C01"/>
    <w:rsid w:val="001F4C3D"/>
    <w:rsid w:val="001F57B9"/>
    <w:rsid w:val="00220E8C"/>
    <w:rsid w:val="002239D7"/>
    <w:rsid w:val="00243A47"/>
    <w:rsid w:val="0024718D"/>
    <w:rsid w:val="002976A3"/>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1F2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A317-B4DD-4AAA-9BE0-DE582E87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2015-09-09T18:24:00Z</dcterms:created>
  <dcterms:modified xsi:type="dcterms:W3CDTF">2015-09-09T18:24:00Z</dcterms:modified>
</cp:coreProperties>
</file>